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7659"/>
      </w:tblGrid>
      <w:tr w:rsidR="002E65E4" w:rsidTr="00AF55A8">
        <w:trPr>
          <w:trHeight w:val="351"/>
        </w:trPr>
        <w:tc>
          <w:tcPr>
            <w:tcW w:w="15037" w:type="dxa"/>
            <w:gridSpan w:val="2"/>
            <w:shd w:val="clear" w:color="auto" w:fill="0070C0"/>
          </w:tcPr>
          <w:p w:rsidR="002E65E4" w:rsidRDefault="002E65E4" w:rsidP="00AF55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65E4" w:rsidTr="00AF55A8">
        <w:trPr>
          <w:trHeight w:val="3018"/>
        </w:trPr>
        <w:tc>
          <w:tcPr>
            <w:tcW w:w="7378" w:type="dxa"/>
          </w:tcPr>
          <w:p w:rsidR="002E65E4" w:rsidRDefault="002E65E4" w:rsidP="00AF55A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755A179E" wp14:editId="1C490A2D">
                  <wp:extent cx="3286125" cy="179494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ege crest lg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728" cy="179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2E65E4" w:rsidRDefault="002E65E4" w:rsidP="00AF55A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E65E4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523875</wp:posOffset>
                      </wp:positionV>
                      <wp:extent cx="2219325" cy="819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5E4" w:rsidRPr="002E65E4" w:rsidRDefault="002E65E4" w:rsidP="002E65E4">
                                  <w:pPr>
                                    <w:spacing w:before="6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E65E4">
                                    <w:rPr>
                                      <w:color w:val="FF0000"/>
                                    </w:rPr>
                                    <w:t>THIS IS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A BRIEF SAMPLE OF THE NEW FORMA</w:t>
                                  </w:r>
                                  <w:r w:rsidRPr="002E65E4">
                                    <w:rPr>
                                      <w:color w:val="FF0000"/>
                                    </w:rPr>
                                    <w:t xml:space="preserve">T MOCK EXAM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MCQ </w:t>
                                  </w:r>
                                  <w:r w:rsidRPr="002E65E4">
                                    <w:rPr>
                                      <w:color w:val="FF0000"/>
                                    </w:rPr>
                                    <w:t>PAPER FOR PRACTISING B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E</w:t>
                                  </w:r>
                                  <w:r w:rsidRPr="002E65E4">
                                    <w:rPr>
                                      <w:color w:val="FF0000"/>
                                    </w:rPr>
                                    <w:t>F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O</w:t>
                                  </w:r>
                                  <w:r w:rsidRPr="002E65E4">
                                    <w:rPr>
                                      <w:color w:val="FF0000"/>
                                    </w:rPr>
                                    <w:t>REHAND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05pt;margin-top:41.25pt;width:17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">
                      <v:textbox>
                        <w:txbxContent>
                          <w:p w:rsidR="002E65E4" w:rsidRPr="002E65E4" w:rsidRDefault="002E65E4" w:rsidP="002E65E4">
                            <w:pPr>
                              <w:spacing w:before="60"/>
                              <w:jc w:val="center"/>
                              <w:rPr>
                                <w:color w:val="FF0000"/>
                              </w:rPr>
                            </w:pPr>
                            <w:r w:rsidRPr="002E65E4">
                              <w:rPr>
                                <w:color w:val="FF0000"/>
                              </w:rPr>
                              <w:t>THIS IS</w:t>
                            </w:r>
                            <w:r>
                              <w:rPr>
                                <w:color w:val="FF0000"/>
                              </w:rPr>
                              <w:t xml:space="preserve"> A BRIEF SAMPLE OF THE NEW FORMA</w:t>
                            </w:r>
                            <w:r w:rsidRPr="002E65E4">
                              <w:rPr>
                                <w:color w:val="FF0000"/>
                              </w:rPr>
                              <w:t xml:space="preserve">T MOCK EXAM </w:t>
                            </w:r>
                            <w:r>
                              <w:rPr>
                                <w:color w:val="FF0000"/>
                              </w:rPr>
                              <w:t xml:space="preserve">MCQ </w:t>
                            </w:r>
                            <w:r w:rsidRPr="002E65E4">
                              <w:rPr>
                                <w:color w:val="FF0000"/>
                              </w:rPr>
                              <w:t>PAPER FOR PRACTISING B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Pr="002E65E4">
                              <w:rPr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 w:rsidRPr="002E65E4">
                              <w:rPr>
                                <w:color w:val="FF0000"/>
                              </w:rPr>
                              <w:t>REHAND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5E4" w:rsidTr="00AF55A8">
        <w:trPr>
          <w:trHeight w:val="5893"/>
        </w:trPr>
        <w:tc>
          <w:tcPr>
            <w:tcW w:w="15037" w:type="dxa"/>
            <w:gridSpan w:val="2"/>
          </w:tcPr>
          <w:p w:rsidR="002E65E4" w:rsidRPr="00ED7EC4" w:rsidRDefault="002E65E4" w:rsidP="00AF5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44061" w:themeColor="accent1" w:themeShade="80"/>
                <w:sz w:val="56"/>
                <w:szCs w:val="56"/>
              </w:rPr>
            </w:pPr>
            <w:r w:rsidRPr="00ED7EC4">
              <w:rPr>
                <w:rFonts w:ascii="Times New Roman" w:hAnsi="Times New Roman"/>
                <w:color w:val="244061" w:themeColor="accent1" w:themeShade="80"/>
                <w:sz w:val="66"/>
                <w:szCs w:val="66"/>
              </w:rPr>
              <w:t>Mock MCQ Paper 2017</w:t>
            </w:r>
            <w:r>
              <w:rPr>
                <w:rFonts w:ascii="Times New Roman" w:hAnsi="Times New Roman"/>
                <w:color w:val="244061" w:themeColor="accent1" w:themeShade="80"/>
                <w:sz w:val="56"/>
                <w:szCs w:val="56"/>
              </w:rPr>
              <w:t xml:space="preserve">  </w:t>
            </w:r>
            <w:r w:rsidRPr="00ED7EC4">
              <w:rPr>
                <w:rFonts w:ascii="Arial Narrow" w:hAnsi="Arial Narrow"/>
                <w:color w:val="244061" w:themeColor="accent1" w:themeShade="80"/>
                <w:sz w:val="36"/>
                <w:szCs w:val="36"/>
              </w:rPr>
              <w:t>(</w:t>
            </w:r>
            <w:r w:rsidRPr="00ED7EC4">
              <w:rPr>
                <w:rFonts w:ascii="Arial Narrow" w:hAnsi="Arial Narrow" w:cs="Arial"/>
                <w:color w:val="244061" w:themeColor="accent1" w:themeShade="80"/>
                <w:sz w:val="36"/>
              </w:rPr>
              <w:t>Produced by the New Zealand Training Programmes)</w:t>
            </w:r>
          </w:p>
          <w:p w:rsidR="002E65E4" w:rsidRDefault="002E65E4" w:rsidP="00AF55A8">
            <w:pPr>
              <w:jc w:val="both"/>
              <w:rPr>
                <w:rFonts w:cs="Arial"/>
                <w:b w:val="0"/>
                <w:bCs/>
                <w:sz w:val="28"/>
              </w:rPr>
            </w:pPr>
          </w:p>
          <w:tbl>
            <w:tblPr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45"/>
              <w:gridCol w:w="2985"/>
            </w:tblGrid>
            <w:tr w:rsidR="002E65E4" w:rsidTr="00AF55A8">
              <w:trPr>
                <w:trHeight w:val="673"/>
              </w:trPr>
              <w:tc>
                <w:tcPr>
                  <w:tcW w:w="8845" w:type="dxa"/>
                  <w:vAlign w:val="center"/>
                </w:tcPr>
                <w:p w:rsidR="002E65E4" w:rsidRDefault="002E65E4" w:rsidP="00AF55A8">
                  <w:pPr>
                    <w:rPr>
                      <w:rFonts w:cs="Arial"/>
                      <w:sz w:val="28"/>
                    </w:rPr>
                  </w:pPr>
                  <w:r>
                    <w:rPr>
                      <w:rFonts w:cs="Arial"/>
                      <w:sz w:val="28"/>
                    </w:rPr>
                    <w:t xml:space="preserve">Candidate’s name:  </w:t>
                  </w:r>
                </w:p>
              </w:tc>
              <w:tc>
                <w:tcPr>
                  <w:tcW w:w="2985" w:type="dxa"/>
                  <w:vAlign w:val="center"/>
                </w:tcPr>
                <w:p w:rsidR="002E65E4" w:rsidRDefault="002E65E4" w:rsidP="00AF55A8">
                  <w:pPr>
                    <w:rPr>
                      <w:rFonts w:cs="Arial"/>
                      <w:b w:val="0"/>
                      <w:bCs/>
                      <w:sz w:val="28"/>
                    </w:rPr>
                  </w:pPr>
                  <w:r>
                    <w:rPr>
                      <w:rFonts w:cs="Arial"/>
                      <w:sz w:val="28"/>
                    </w:rPr>
                    <w:t xml:space="preserve">Date:  </w:t>
                  </w:r>
                </w:p>
              </w:tc>
            </w:tr>
          </w:tbl>
          <w:p w:rsidR="002E65E4" w:rsidRDefault="002E65E4" w:rsidP="00AF55A8">
            <w:pPr>
              <w:rPr>
                <w:rFonts w:cs="Arial"/>
                <w:b w:val="0"/>
                <w:i/>
                <w:sz w:val="24"/>
              </w:rPr>
            </w:pPr>
          </w:p>
          <w:p w:rsidR="002E65E4" w:rsidRPr="00F22070" w:rsidRDefault="002E65E4" w:rsidP="00AF55A8">
            <w:pPr>
              <w:rPr>
                <w:rFonts w:cs="Arial"/>
                <w:b w:val="0"/>
                <w:color w:val="17365D" w:themeColor="text2" w:themeShade="BF"/>
                <w:sz w:val="24"/>
              </w:rPr>
            </w:pPr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The real MCQ paper is these days done via a computer interface at special testing venues.  This Mock Paper cannot replicate those conditions, but is still a useful exercise in managing the size of the task, the timing, and individual question types. </w:t>
            </w:r>
          </w:p>
          <w:p w:rsidR="002E65E4" w:rsidRPr="00F22070" w:rsidRDefault="002E65E4" w:rsidP="00AF55A8">
            <w:pPr>
              <w:rPr>
                <w:rFonts w:cs="Arial"/>
                <w:b w:val="0"/>
                <w:color w:val="17365D" w:themeColor="text2" w:themeShade="BF"/>
                <w:sz w:val="14"/>
                <w:szCs w:val="14"/>
              </w:rPr>
            </w:pPr>
          </w:p>
          <w:p w:rsidR="002E65E4" w:rsidRPr="00F22070" w:rsidRDefault="002E65E4" w:rsidP="00AF55A8">
            <w:pPr>
              <w:rPr>
                <w:rFonts w:cs="Arial"/>
                <w:b w:val="0"/>
                <w:color w:val="17365D" w:themeColor="text2" w:themeShade="BF"/>
                <w:sz w:val="24"/>
              </w:rPr>
            </w:pPr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We suggest that candidates replicate actual exam conditions as far as possible, according to the rules in the </w:t>
            </w:r>
            <w:hyperlink r:id="rId7" w:history="1">
              <w:r w:rsidRPr="00F22070">
                <w:rPr>
                  <w:rStyle w:val="Hyperlink"/>
                  <w:rFonts w:cs="Arial"/>
                  <w:b w:val="0"/>
                  <w:color w:val="17365D" w:themeColor="text2" w:themeShade="BF"/>
                  <w:sz w:val="24"/>
                </w:rPr>
                <w:t>Exams section of the 2012 Regulations</w:t>
              </w:r>
            </w:hyperlink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 </w:t>
            </w:r>
            <w:r>
              <w:rPr>
                <w:rFonts w:cs="Arial"/>
                <w:b w:val="0"/>
                <w:color w:val="17365D" w:themeColor="text2" w:themeShade="BF"/>
                <w:sz w:val="24"/>
              </w:rPr>
              <w:t xml:space="preserve"> </w:t>
            </w:r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(see: Written Examination policy esp. pages 7-12), and that they use the </w:t>
            </w:r>
            <w:hyperlink r:id="rId8" w:history="1">
              <w:r w:rsidRPr="00F22070">
                <w:rPr>
                  <w:rStyle w:val="Hyperlink"/>
                  <w:rFonts w:cs="Arial"/>
                  <w:b w:val="0"/>
                  <w:color w:val="17365D" w:themeColor="text2" w:themeShade="BF"/>
                  <w:sz w:val="24"/>
                </w:rPr>
                <w:t>MCQ Information</w:t>
              </w:r>
            </w:hyperlink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, </w:t>
            </w:r>
            <w:hyperlink r:id="rId9" w:history="1">
              <w:r w:rsidRPr="00F22070">
                <w:rPr>
                  <w:rStyle w:val="Hyperlink"/>
                  <w:rFonts w:cs="Arial"/>
                  <w:b w:val="0"/>
                  <w:color w:val="17365D" w:themeColor="text2" w:themeShade="BF"/>
                  <w:sz w:val="24"/>
                </w:rPr>
                <w:t>tutorial MCQ exam</w:t>
              </w:r>
            </w:hyperlink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, </w:t>
            </w:r>
            <w:hyperlink r:id="rId10" w:history="1">
              <w:r w:rsidRPr="00F22070">
                <w:rPr>
                  <w:rStyle w:val="Hyperlink"/>
                  <w:rFonts w:cs="Arial"/>
                  <w:b w:val="0"/>
                  <w:color w:val="17365D" w:themeColor="text2" w:themeShade="BF"/>
                  <w:sz w:val="24"/>
                </w:rPr>
                <w:t>and tutorial model answers</w:t>
              </w:r>
            </w:hyperlink>
            <w:r w:rsidRPr="00F22070">
              <w:rPr>
                <w:rFonts w:cs="Arial"/>
                <w:b w:val="0"/>
                <w:color w:val="17365D" w:themeColor="text2" w:themeShade="BF"/>
                <w:sz w:val="24"/>
              </w:rPr>
              <w:t xml:space="preserve"> provided by the College to familiarise themselves with the MCQ electronic interface.</w:t>
            </w:r>
          </w:p>
          <w:p w:rsidR="002E65E4" w:rsidRPr="00F22070" w:rsidRDefault="002E65E4" w:rsidP="00AF55A8">
            <w:pPr>
              <w:rPr>
                <w:rFonts w:cs="Arial"/>
                <w:b w:val="0"/>
                <w:sz w:val="24"/>
              </w:rPr>
            </w:pPr>
          </w:p>
          <w:p w:rsidR="002E65E4" w:rsidRDefault="002E65E4" w:rsidP="00AF55A8">
            <w:pPr>
              <w:rPr>
                <w:rFonts w:cs="Arial"/>
                <w:color w:val="FF0000"/>
                <w:sz w:val="24"/>
              </w:rPr>
            </w:pPr>
            <w:r w:rsidRPr="00F22070">
              <w:rPr>
                <w:rFonts w:cs="Arial"/>
                <w:color w:val="FF0000"/>
                <w:sz w:val="24"/>
              </w:rPr>
              <w:t xml:space="preserve">This version of the MCQ can be completed electronically, on a computer using Word to fill in the correct answers in each answer box. Remember to hit </w:t>
            </w:r>
            <w:r w:rsidRPr="000535D3">
              <w:rPr>
                <w:rFonts w:cs="Arial"/>
                <w:color w:val="003399"/>
                <w:sz w:val="24"/>
              </w:rPr>
              <w:t xml:space="preserve">control-S </w:t>
            </w:r>
            <w:r w:rsidRPr="00F22070">
              <w:rPr>
                <w:rFonts w:cs="Arial"/>
                <w:color w:val="FF0000"/>
                <w:sz w:val="24"/>
              </w:rPr>
              <w:t>to save your completed paper intermittently, and at the very end of the exam save the file.</w:t>
            </w:r>
            <w:r>
              <w:rPr>
                <w:rFonts w:cs="Arial"/>
                <w:color w:val="FF0000"/>
                <w:sz w:val="24"/>
              </w:rPr>
              <w:t xml:space="preserve"> If you'll be doing this at a centralised venue, bring a flash-drive to save the completed mock exam and take it home to mark. </w:t>
            </w:r>
          </w:p>
          <w:p w:rsidR="002E65E4" w:rsidRPr="005A16BF" w:rsidRDefault="002E65E4" w:rsidP="00AF55A8">
            <w:pPr>
              <w:rPr>
                <w:rFonts w:cs="Arial"/>
                <w:b w:val="0"/>
                <w:color w:val="17365D" w:themeColor="text2" w:themeShade="BF"/>
                <w:sz w:val="24"/>
              </w:rPr>
            </w:pPr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>The model answers will be here, after 13</w:t>
            </w:r>
            <w:r w:rsidRPr="005A16BF">
              <w:rPr>
                <w:rFonts w:cs="Arial"/>
                <w:b w:val="0"/>
                <w:color w:val="17365D" w:themeColor="text2" w:themeShade="BF"/>
                <w:sz w:val="24"/>
                <w:vertAlign w:val="superscript"/>
              </w:rPr>
              <w:t>th</w:t>
            </w:r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 xml:space="preserve"> January 201</w:t>
            </w:r>
            <w:r w:rsidR="002A5685">
              <w:rPr>
                <w:rFonts w:cs="Arial"/>
                <w:b w:val="0"/>
                <w:color w:val="17365D" w:themeColor="text2" w:themeShade="BF"/>
                <w:sz w:val="24"/>
              </w:rPr>
              <w:t>7</w:t>
            </w:r>
            <w:bookmarkStart w:id="0" w:name="_GoBack"/>
            <w:bookmarkEnd w:id="0"/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 xml:space="preserve">: </w:t>
            </w:r>
            <w:hyperlink r:id="rId11" w:history="1">
              <w:r w:rsidRPr="005A16BF">
                <w:rPr>
                  <w:rStyle w:val="Hyperlink"/>
                  <w:rFonts w:cs="Arial"/>
                  <w:b w:val="0"/>
                  <w:color w:val="17365D" w:themeColor="text2" w:themeShade="BF"/>
                  <w:sz w:val="24"/>
                </w:rPr>
                <w:t>http://www.psychtraining.org/Mock-exams.html</w:t>
              </w:r>
            </w:hyperlink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 xml:space="preserve"> (no cheating beforehand!). This exam is </w:t>
            </w:r>
            <w:r>
              <w:rPr>
                <w:rFonts w:cs="Arial"/>
                <w:b w:val="0"/>
                <w:color w:val="17365D" w:themeColor="text2" w:themeShade="BF"/>
                <w:sz w:val="24"/>
              </w:rPr>
              <w:t xml:space="preserve">only </w:t>
            </w:r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 xml:space="preserve">written </w:t>
            </w:r>
            <w:r w:rsidRPr="002E65E4">
              <w:rPr>
                <w:rFonts w:cs="Arial"/>
                <w:b w:val="0"/>
                <w:i/>
                <w:color w:val="17365D" w:themeColor="text2" w:themeShade="BF"/>
                <w:sz w:val="24"/>
              </w:rPr>
              <w:t xml:space="preserve">once </w:t>
            </w:r>
            <w:r w:rsidRPr="002E65E4">
              <w:rPr>
                <w:rFonts w:cs="Arial"/>
                <w:b w:val="0"/>
                <w:color w:val="17365D" w:themeColor="text2" w:themeShade="BF"/>
                <w:sz w:val="24"/>
              </w:rPr>
              <w:t>a year</w:t>
            </w:r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>, so if you're not sitting until August, save it to d</w:t>
            </w:r>
            <w:r>
              <w:rPr>
                <w:rFonts w:cs="Arial"/>
                <w:b w:val="0"/>
                <w:color w:val="17365D" w:themeColor="text2" w:themeShade="BF"/>
                <w:sz w:val="24"/>
              </w:rPr>
              <w:t>o</w:t>
            </w:r>
            <w:r w:rsidRPr="005A16BF">
              <w:rPr>
                <w:rFonts w:cs="Arial"/>
                <w:b w:val="0"/>
                <w:color w:val="17365D" w:themeColor="text2" w:themeShade="BF"/>
                <w:sz w:val="24"/>
              </w:rPr>
              <w:t xml:space="preserve"> in the lead-up then, and don't look at the answers earlier.</w:t>
            </w:r>
          </w:p>
          <w:p w:rsidR="002E65E4" w:rsidRPr="00F22070" w:rsidRDefault="002E65E4" w:rsidP="00AF55A8">
            <w:pPr>
              <w:rPr>
                <w:rFonts w:cs="Arial"/>
                <w:color w:val="FF0000"/>
                <w:sz w:val="24"/>
              </w:rPr>
            </w:pPr>
          </w:p>
          <w:p w:rsidR="002E65E4" w:rsidRDefault="002E65E4" w:rsidP="00AF55A8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You are allowed</w:t>
            </w:r>
            <w:r w:rsidRPr="00F22070">
              <w:rPr>
                <w:rFonts w:cs="Arial"/>
                <w:color w:val="FF0000"/>
                <w:sz w:val="24"/>
              </w:rPr>
              <w:t xml:space="preserve"> </w:t>
            </w:r>
            <w:r w:rsidRPr="00370B62">
              <w:rPr>
                <w:rFonts w:cs="Arial"/>
                <w:color w:val="FF0000"/>
                <w:sz w:val="24"/>
                <w:shd w:val="clear" w:color="auto" w:fill="FFFF00"/>
              </w:rPr>
              <w:t>3 hours and 10 minutes total time</w:t>
            </w:r>
            <w:r w:rsidRPr="00F22070">
              <w:rPr>
                <w:rFonts w:cs="Arial"/>
                <w:color w:val="FF0000"/>
                <w:sz w:val="24"/>
              </w:rPr>
              <w:t xml:space="preserve"> to complete the paper. All of that is exam-time – there is no 'reading time'.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2E65E4" w:rsidRDefault="002E65E4" w:rsidP="00AF55A8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2E65E4" w:rsidRDefault="002E65E4" w:rsidP="00AF55A8">
            <w:pPr>
              <w:jc w:val="center"/>
              <w:rPr>
                <w:rFonts w:ascii="Arial Rounded MT Bold" w:hAnsi="Arial Rounded MT Bold"/>
                <w:i/>
                <w:color w:val="000099"/>
                <w:sz w:val="28"/>
                <w:szCs w:val="28"/>
              </w:rPr>
            </w:pPr>
            <w:r w:rsidRPr="00542B40">
              <w:rPr>
                <w:rFonts w:ascii="Arial Rounded MT Bold" w:hAnsi="Arial Rounded MT Bold"/>
                <w:i/>
                <w:color w:val="000099"/>
                <w:sz w:val="28"/>
                <w:szCs w:val="28"/>
                <w:highlight w:val="yellow"/>
              </w:rPr>
              <w:t>– REMEMBER TO HIT SAVE OR CONTROL-S REGULARLY TO SAVE YOUR ANSWERS ! –</w:t>
            </w:r>
          </w:p>
          <w:p w:rsidR="002E65E4" w:rsidRPr="00542B40" w:rsidRDefault="002E65E4" w:rsidP="00AF55A8">
            <w:pPr>
              <w:jc w:val="center"/>
              <w:rPr>
                <w:rFonts w:ascii="Arial Rounded MT Bold" w:hAnsi="Arial Rounded MT Bold"/>
                <w:i/>
                <w:color w:val="000099"/>
                <w:sz w:val="28"/>
                <w:szCs w:val="28"/>
              </w:rPr>
            </w:pPr>
          </w:p>
        </w:tc>
      </w:tr>
      <w:tr w:rsidR="002E65E4" w:rsidRPr="001F0745" w:rsidTr="00AF55A8">
        <w:trPr>
          <w:trHeight w:val="226"/>
        </w:trPr>
        <w:tc>
          <w:tcPr>
            <w:tcW w:w="15037" w:type="dxa"/>
            <w:gridSpan w:val="2"/>
            <w:shd w:val="clear" w:color="auto" w:fill="0070C0"/>
          </w:tcPr>
          <w:p w:rsidR="002E65E4" w:rsidRPr="001F0745" w:rsidRDefault="002E65E4" w:rsidP="00AF5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2E65E4" w:rsidRPr="00F22070" w:rsidRDefault="002E65E4" w:rsidP="002E65E4">
      <w:pPr>
        <w:autoSpaceDE w:val="0"/>
        <w:autoSpaceDN w:val="0"/>
        <w:adjustRightInd w:val="0"/>
        <w:jc w:val="center"/>
        <w:rPr>
          <w:rFonts w:cs="Arial"/>
          <w:sz w:val="2"/>
          <w:szCs w:val="2"/>
        </w:rPr>
      </w:pPr>
      <w:r w:rsidRPr="00F22070">
        <w:rPr>
          <w:rFonts w:cs="Arial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5E4" w:rsidRDefault="002E65E4" w:rsidP="002E65E4">
      <w:pPr>
        <w:rPr>
          <w:rFonts w:cs="Arial"/>
          <w:i/>
          <w:sz w:val="4"/>
          <w:szCs w:val="4"/>
        </w:rPr>
      </w:pPr>
      <w:r>
        <w:rPr>
          <w:rFonts w:cs="Arial"/>
          <w:i/>
          <w:sz w:val="4"/>
          <w:szCs w:val="4"/>
        </w:rPr>
        <w:br w:type="page"/>
      </w:r>
    </w:p>
    <w:p w:rsidR="002E65E4" w:rsidRPr="00861323" w:rsidRDefault="002E65E4" w:rsidP="002E65E4">
      <w:pPr>
        <w:rPr>
          <w:rFonts w:cs="Arial"/>
          <w:i/>
          <w:sz w:val="4"/>
          <w:szCs w:val="4"/>
        </w:rPr>
      </w:pPr>
    </w:p>
    <w:p w:rsidR="002E65E4" w:rsidRPr="00C57862" w:rsidRDefault="002E65E4" w:rsidP="002E65E4">
      <w:pPr>
        <w:rPr>
          <w:rFonts w:cs="Arial"/>
          <w:i/>
          <w:sz w:val="2"/>
          <w:szCs w:val="2"/>
        </w:rPr>
      </w:pPr>
    </w:p>
    <w:tbl>
      <w:tblPr>
        <w:tblStyle w:val="TableGrid"/>
        <w:tblW w:w="149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9"/>
      </w:tblGrid>
      <w:tr w:rsidR="002E65E4" w:rsidTr="00AF55A8">
        <w:trPr>
          <w:trHeight w:val="340"/>
        </w:trPr>
        <w:tc>
          <w:tcPr>
            <w:tcW w:w="14992" w:type="dxa"/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  <w:r w:rsidRPr="00D7000B">
              <w:rPr>
                <w:rFonts w:cs="Arial"/>
                <w:color w:val="FFFFFF" w:themeColor="background1"/>
                <w:sz w:val="24"/>
              </w:rPr>
              <w:t xml:space="preserve">MCQ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D7000B">
              <w:rPr>
                <w:rFonts w:cs="Arial"/>
                <w:color w:val="FFFFFF" w:themeColor="background1"/>
                <w:sz w:val="24"/>
              </w:rPr>
              <w:t>Mock Exam</w:t>
            </w:r>
          </w:p>
        </w:tc>
      </w:tr>
      <w:tr w:rsidR="002E65E4" w:rsidRPr="00D7000B" w:rsidTr="00AF55A8">
        <w:trPr>
          <w:trHeight w:val="132"/>
        </w:trPr>
        <w:tc>
          <w:tcPr>
            <w:tcW w:w="14992" w:type="dxa"/>
            <w:shd w:val="clear" w:color="auto" w:fill="8DB3E2" w:themeFill="text2" w:themeFillTint="66"/>
            <w:vAlign w:val="center"/>
          </w:tcPr>
          <w:p w:rsidR="002E65E4" w:rsidRPr="00D7000B" w:rsidRDefault="002E65E4" w:rsidP="00AF55A8">
            <w:pPr>
              <w:rPr>
                <w:rFonts w:cs="Arial"/>
              </w:rPr>
            </w:pPr>
          </w:p>
        </w:tc>
      </w:tr>
      <w:tr w:rsidR="002E65E4" w:rsidTr="00AF55A8">
        <w:trPr>
          <w:trHeight w:val="9284"/>
        </w:trPr>
        <w:tc>
          <w:tcPr>
            <w:tcW w:w="14992" w:type="dxa"/>
          </w:tcPr>
          <w:p w:rsidR="002E65E4" w:rsidRPr="002B43A2" w:rsidRDefault="002E65E4" w:rsidP="00AF55A8">
            <w:pPr>
              <w:rPr>
                <w:rFonts w:cs="Arial"/>
                <w:sz w:val="24"/>
              </w:rPr>
            </w:pPr>
          </w:p>
          <w:p w:rsidR="002E65E4" w:rsidRDefault="002E65E4" w:rsidP="00AF55A8">
            <w:pPr>
              <w:rPr>
                <w:rFonts w:cs="Arial"/>
                <w:sz w:val="24"/>
              </w:rPr>
            </w:pPr>
          </w:p>
          <w:p w:rsidR="002E65E4" w:rsidRPr="002B43A2" w:rsidRDefault="002E65E4" w:rsidP="00AF55A8">
            <w:pPr>
              <w:rPr>
                <w:rFonts w:cs="Arial"/>
                <w:sz w:val="24"/>
              </w:rPr>
            </w:pPr>
            <w:r w:rsidRPr="002B43A2">
              <w:rPr>
                <w:rFonts w:cs="Arial"/>
                <w:sz w:val="24"/>
              </w:rPr>
              <w:t>Extended Matching Questions (EMQ)</w:t>
            </w:r>
          </w:p>
          <w:p w:rsidR="002E65E4" w:rsidRPr="002B43A2" w:rsidRDefault="002E65E4" w:rsidP="00AF55A8">
            <w:pPr>
              <w:rPr>
                <w:rFonts w:cs="Arial"/>
                <w:sz w:val="24"/>
              </w:rPr>
            </w:pPr>
          </w:p>
          <w:p w:rsidR="002E65E4" w:rsidRDefault="002E65E4" w:rsidP="00AF55A8">
            <w:pPr>
              <w:rPr>
                <w:rFonts w:cs="Arial"/>
                <w:sz w:val="24"/>
              </w:rPr>
            </w:pPr>
            <w:r w:rsidRPr="002B43A2">
              <w:rPr>
                <w:rFonts w:cs="Arial"/>
                <w:b w:val="0"/>
                <w:sz w:val="24"/>
              </w:rPr>
              <w:t>You are about to commence the EMQ component of the Mock Exam</w:t>
            </w:r>
            <w:r w:rsidRPr="002B43A2">
              <w:rPr>
                <w:rFonts w:cs="Arial"/>
                <w:sz w:val="24"/>
              </w:rPr>
              <w:t>.</w:t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</w:p>
          <w:p w:rsidR="002E65E4" w:rsidRPr="002B43A2" w:rsidRDefault="002E65E4" w:rsidP="00AF55A8">
            <w:pPr>
              <w:rPr>
                <w:rFonts w:cs="Arial"/>
                <w:sz w:val="24"/>
              </w:rPr>
            </w:pPr>
          </w:p>
          <w:p w:rsidR="002E65E4" w:rsidRPr="002B43A2" w:rsidRDefault="002E65E4" w:rsidP="00AF55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B43A2">
              <w:rPr>
                <w:rFonts w:ascii="Arial" w:hAnsi="Arial" w:cs="Arial"/>
                <w:sz w:val="24"/>
              </w:rPr>
              <w:t>The Question Instructions are on the left panel of each page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2E65E4" w:rsidRPr="002B43A2" w:rsidRDefault="002E65E4" w:rsidP="00AF55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B43A2">
              <w:rPr>
                <w:rFonts w:ascii="Arial" w:hAnsi="Arial" w:cs="Arial"/>
                <w:sz w:val="24"/>
              </w:rPr>
              <w:t xml:space="preserve">The Questions and Answer Options are on the right hand </w:t>
            </w:r>
            <w:r>
              <w:rPr>
                <w:rFonts w:ascii="Arial" w:hAnsi="Arial" w:cs="Arial"/>
                <w:sz w:val="24"/>
              </w:rPr>
              <w:t>panel.</w:t>
            </w:r>
          </w:p>
          <w:p w:rsidR="002E65E4" w:rsidRPr="002B43A2" w:rsidRDefault="002E65E4" w:rsidP="00AF55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B43A2">
              <w:rPr>
                <w:rFonts w:ascii="Arial" w:hAnsi="Arial" w:cs="Arial"/>
                <w:sz w:val="24"/>
              </w:rPr>
              <w:t>Please read Question Instructions, Questions and options CAREFULLY before answering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2E65E4" w:rsidRDefault="002E65E4" w:rsidP="00AF55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2B43A2">
              <w:rPr>
                <w:rFonts w:ascii="Arial" w:hAnsi="Arial" w:cs="Arial"/>
                <w:sz w:val="24"/>
              </w:rPr>
              <w:t>There may be a series of Questions that could share the same lis</w:t>
            </w:r>
            <w:r>
              <w:rPr>
                <w:rFonts w:ascii="Arial" w:hAnsi="Arial" w:cs="Arial"/>
                <w:sz w:val="24"/>
              </w:rPr>
              <w:t>t o</w:t>
            </w:r>
            <w:r w:rsidRPr="002B43A2">
              <w:rPr>
                <w:rFonts w:ascii="Arial" w:hAnsi="Arial" w:cs="Arial"/>
                <w:sz w:val="24"/>
              </w:rPr>
              <w:t>f answer options.</w:t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To answer a Question, left-click on the checkbox beside your preferred option, to select it.  e.g.</w:t>
            </w:r>
          </w:p>
          <w:p w:rsidR="002E65E4" w:rsidRPr="00C126DB" w:rsidRDefault="002E65E4" w:rsidP="00AF55A8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val="en-GB" w:eastAsia="en-GB"/>
              </w:rPr>
              <w:drawing>
                <wp:inline distT="0" distB="0" distL="0" distR="0" wp14:anchorId="54ED4D4F" wp14:editId="2EBBABA3">
                  <wp:extent cx="2314575" cy="914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box exampl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To change your answer, click the checkbox again to de-select it, and click another one. </w:t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</w:p>
          <w:p w:rsidR="002E65E4" w:rsidRPr="002B43A2" w:rsidRDefault="002E65E4" w:rsidP="00AF55A8">
            <w:pPr>
              <w:rPr>
                <w:rFonts w:cs="Arial"/>
                <w:sz w:val="24"/>
              </w:rPr>
            </w:pPr>
          </w:p>
          <w:p w:rsidR="002E65E4" w:rsidRPr="00454304" w:rsidRDefault="002E65E4" w:rsidP="00AF55A8">
            <w:pPr>
              <w:rPr>
                <w:rFonts w:cs="Arial"/>
                <w:b w:val="0"/>
                <w:sz w:val="24"/>
              </w:rPr>
            </w:pPr>
            <w:r w:rsidRPr="00454304">
              <w:rPr>
                <w:rFonts w:cs="Arial"/>
                <w:b w:val="0"/>
                <w:color w:val="FF0000"/>
                <w:sz w:val="24"/>
              </w:rPr>
              <w:t xml:space="preserve">To 'flag' a question and review it later add an </w:t>
            </w:r>
            <w:r w:rsidRPr="00226A71">
              <w:rPr>
                <w:rFonts w:cs="Arial"/>
                <w:color w:val="FF0000"/>
                <w:sz w:val="24"/>
              </w:rPr>
              <w:t>!</w:t>
            </w:r>
            <w:r w:rsidRPr="00454304">
              <w:rPr>
                <w:rFonts w:cs="Arial"/>
                <w:b w:val="0"/>
                <w:color w:val="FF0000"/>
                <w:sz w:val="24"/>
              </w:rPr>
              <w:t xml:space="preserve"> to the 'Flag box' at top right. </w:t>
            </w:r>
            <w:r w:rsidRPr="00454304">
              <w:rPr>
                <w:rFonts w:cs="Arial"/>
                <w:b w:val="0"/>
                <w:sz w:val="24"/>
              </w:rPr>
              <w:t xml:space="preserve">Then search for all the </w:t>
            </w:r>
            <w:r w:rsidRPr="00226A71">
              <w:rPr>
                <w:rFonts w:cs="Arial"/>
                <w:sz w:val="24"/>
              </w:rPr>
              <w:t>!</w:t>
            </w:r>
            <w:r w:rsidRPr="00454304">
              <w:rPr>
                <w:rFonts w:cs="Arial"/>
                <w:b w:val="0"/>
                <w:sz w:val="24"/>
              </w:rPr>
              <w:t xml:space="preserve">s when you want to review any questions you were unsure about, by hitting </w:t>
            </w:r>
            <w:r w:rsidRPr="00454304">
              <w:rPr>
                <w:rFonts w:cs="Arial"/>
                <w:b w:val="0"/>
                <w:color w:val="FF0000"/>
                <w:sz w:val="24"/>
              </w:rPr>
              <w:t xml:space="preserve">control-F </w:t>
            </w:r>
            <w:r w:rsidRPr="00454304">
              <w:rPr>
                <w:rFonts w:cs="Arial"/>
                <w:b w:val="0"/>
                <w:sz w:val="24"/>
              </w:rPr>
              <w:t xml:space="preserve">to bring up the navigation field, then type </w:t>
            </w:r>
            <w:r w:rsidRPr="006305F8">
              <w:rPr>
                <w:rFonts w:cs="Arial"/>
                <w:sz w:val="24"/>
              </w:rPr>
              <w:t>!</w:t>
            </w:r>
            <w:r w:rsidRPr="00454304">
              <w:rPr>
                <w:rFonts w:cs="Arial"/>
                <w:b w:val="0"/>
                <w:sz w:val="24"/>
              </w:rPr>
              <w:t xml:space="preserve"> in that field. </w:t>
            </w:r>
            <w:r w:rsidRPr="00454304">
              <w:rPr>
                <w:rFonts w:cs="Arial"/>
                <w:b w:val="0"/>
                <w:sz w:val="24"/>
              </w:rPr>
              <w:br/>
              <w:t xml:space="preserve">Skip past any </w:t>
            </w:r>
            <w:r w:rsidRPr="00226A71">
              <w:rPr>
                <w:rFonts w:cs="Arial"/>
                <w:sz w:val="24"/>
              </w:rPr>
              <w:t>!</w:t>
            </w:r>
            <w:r w:rsidRPr="00454304">
              <w:rPr>
                <w:rFonts w:cs="Arial"/>
                <w:b w:val="0"/>
                <w:sz w:val="24"/>
              </w:rPr>
              <w:t xml:space="preserve">s in the explanatory pages, and review the rest. To refresh the search, put your cursor on the Navigation search box (which will highlight the </w:t>
            </w:r>
            <w:r>
              <w:rPr>
                <w:rFonts w:cs="Arial"/>
                <w:b w:val="0"/>
                <w:sz w:val="24"/>
              </w:rPr>
              <w:t>contents</w:t>
            </w:r>
            <w:r w:rsidRPr="00454304">
              <w:rPr>
                <w:rFonts w:cs="Arial"/>
                <w:b w:val="0"/>
                <w:sz w:val="24"/>
              </w:rPr>
              <w:t xml:space="preserve">) and left-click. When you've finished a question and no longer want to review it, delete the </w:t>
            </w:r>
            <w:r w:rsidRPr="00226A71">
              <w:rPr>
                <w:rFonts w:cs="Arial"/>
                <w:sz w:val="24"/>
              </w:rPr>
              <w:t>!</w:t>
            </w:r>
            <w:r w:rsidRPr="00454304">
              <w:rPr>
                <w:rFonts w:cs="Arial"/>
                <w:b w:val="0"/>
                <w:sz w:val="24"/>
              </w:rPr>
              <w:t xml:space="preserve"> from the "Flag box" on the Question page.</w:t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</w:p>
          <w:p w:rsidR="002E65E4" w:rsidRPr="00C329AA" w:rsidRDefault="002E65E4" w:rsidP="00AF55A8">
            <w:pPr>
              <w:rPr>
                <w:rFonts w:cs="Arial"/>
                <w:b w:val="0"/>
                <w:sz w:val="24"/>
              </w:rPr>
            </w:pPr>
            <w:r w:rsidRPr="00C329AA">
              <w:rPr>
                <w:rFonts w:cs="Arial"/>
                <w:b w:val="0"/>
                <w:sz w:val="24"/>
              </w:rPr>
              <w:t>Example of a 'flagged' question</w:t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val="en-GB" w:eastAsia="en-GB"/>
              </w:rPr>
              <w:drawing>
                <wp:inline distT="0" distB="0" distL="0" distR="0" wp14:anchorId="70B4612E" wp14:editId="5301212A">
                  <wp:extent cx="9450705" cy="47053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 box example emq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70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5E4" w:rsidRDefault="002E65E4" w:rsidP="00AF55A8">
            <w:pPr>
              <w:rPr>
                <w:rFonts w:cs="Arial"/>
                <w:sz w:val="24"/>
              </w:rPr>
            </w:pPr>
          </w:p>
          <w:p w:rsidR="002E65E4" w:rsidRPr="00877A99" w:rsidRDefault="002E65E4" w:rsidP="00613050">
            <w:pPr>
              <w:rPr>
                <w:rFonts w:ascii="Arial Narrow" w:hAnsi="Arial Narrow" w:cs="Arial"/>
                <w:sz w:val="24"/>
              </w:rPr>
            </w:pPr>
            <w:r w:rsidRPr="00877A99">
              <w:rPr>
                <w:rFonts w:ascii="Arial Narrow" w:hAnsi="Arial Narrow" w:cs="Arial"/>
                <w:sz w:val="24"/>
                <w:highlight w:val="yellow"/>
              </w:rPr>
              <w:t xml:space="preserve">The next 3 pages are formatted like the 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 xml:space="preserve">Mock Exam. </w:t>
            </w:r>
            <w:r w:rsidR="00877A99" w:rsidRPr="00877A99">
              <w:rPr>
                <w:rFonts w:ascii="Arial Narrow" w:hAnsi="Arial Narrow" w:cs="Arial"/>
                <w:sz w:val="24"/>
                <w:highlight w:val="yellow"/>
              </w:rPr>
              <w:t xml:space="preserve"> </w:t>
            </w:r>
            <w:r w:rsidR="00613050">
              <w:rPr>
                <w:rFonts w:ascii="Arial Narrow" w:hAnsi="Arial Narrow" w:cs="Arial"/>
                <w:sz w:val="24"/>
                <w:highlight w:val="yellow"/>
              </w:rPr>
              <w:t>Have a go at them, making sure to f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 xml:space="preserve">lag a </w:t>
            </w:r>
            <w:r w:rsidR="00613050">
              <w:rPr>
                <w:rFonts w:ascii="Arial Narrow" w:hAnsi="Arial Narrow" w:cs="Arial"/>
                <w:sz w:val="24"/>
                <w:highlight w:val="yellow"/>
              </w:rPr>
              <w:t xml:space="preserve">couple of 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>question</w:t>
            </w:r>
            <w:r w:rsidR="00613050">
              <w:rPr>
                <w:rFonts w:ascii="Arial Narrow" w:hAnsi="Arial Narrow" w:cs="Arial"/>
                <w:sz w:val="24"/>
                <w:highlight w:val="yellow"/>
              </w:rPr>
              <w:t>s</w:t>
            </w:r>
            <w:r w:rsidR="00B55937">
              <w:rPr>
                <w:rFonts w:ascii="Arial Narrow" w:hAnsi="Arial Narrow" w:cs="Arial"/>
                <w:sz w:val="24"/>
                <w:highlight w:val="yellow"/>
              </w:rPr>
              <w:t xml:space="preserve"> for review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 xml:space="preserve">, then hit </w:t>
            </w:r>
            <w:r w:rsidR="00877A99" w:rsidRPr="00877A99">
              <w:rPr>
                <w:rFonts w:ascii="Arial Narrow" w:hAnsi="Arial Narrow" w:cs="Arial"/>
                <w:sz w:val="24"/>
                <w:highlight w:val="yellow"/>
              </w:rPr>
              <w:t xml:space="preserve">control-F, type in ! 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>and</w:t>
            </w:r>
            <w:r w:rsidR="00877A99" w:rsidRPr="00877A99">
              <w:rPr>
                <w:rFonts w:ascii="Arial Narrow" w:hAnsi="Arial Narrow" w:cs="Arial"/>
                <w:sz w:val="24"/>
                <w:highlight w:val="yellow"/>
              </w:rPr>
              <w:t xml:space="preserve"> scroll down </w:t>
            </w:r>
            <w:r w:rsidR="00984B31">
              <w:rPr>
                <w:rFonts w:ascii="Arial Narrow" w:hAnsi="Arial Narrow" w:cs="Arial"/>
                <w:sz w:val="24"/>
                <w:highlight w:val="yellow"/>
              </w:rPr>
              <w:t xml:space="preserve">on left side </w:t>
            </w:r>
            <w:r w:rsidR="004C02C0">
              <w:rPr>
                <w:rFonts w:ascii="Arial Narrow" w:hAnsi="Arial Narrow" w:cs="Arial"/>
                <w:sz w:val="24"/>
                <w:highlight w:val="yellow"/>
              </w:rPr>
              <w:t>to see the flagged question</w:t>
            </w:r>
            <w:r w:rsidR="009046B2">
              <w:rPr>
                <w:rFonts w:ascii="Arial Narrow" w:hAnsi="Arial Narrow" w:cs="Arial"/>
                <w:sz w:val="24"/>
                <w:highlight w:val="yellow"/>
              </w:rPr>
              <w:t>s</w:t>
            </w:r>
            <w:r w:rsidR="00877A99" w:rsidRPr="00877A99">
              <w:rPr>
                <w:rFonts w:ascii="Arial Narrow" w:hAnsi="Arial Narrow" w:cs="Arial"/>
                <w:sz w:val="24"/>
                <w:highlight w:val="yellow"/>
              </w:rPr>
              <w:t>.</w:t>
            </w:r>
            <w:r w:rsidR="00877A99" w:rsidRPr="00877A99">
              <w:rPr>
                <w:rFonts w:ascii="Arial Narrow" w:hAnsi="Arial Narrow" w:cs="Arial"/>
                <w:sz w:val="24"/>
              </w:rPr>
              <w:t xml:space="preserve"> </w:t>
            </w:r>
          </w:p>
        </w:tc>
      </w:tr>
      <w:tr w:rsidR="002E65E4" w:rsidTr="00AF55A8">
        <w:tc>
          <w:tcPr>
            <w:tcW w:w="14992" w:type="dxa"/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</w:p>
        </w:tc>
      </w:tr>
    </w:tbl>
    <w:p w:rsidR="002E65E4" w:rsidRPr="00861323" w:rsidRDefault="002E65E4" w:rsidP="002E65E4">
      <w:pPr>
        <w:rPr>
          <w:rFonts w:cs="Arial"/>
          <w:sz w:val="6"/>
          <w:szCs w:val="6"/>
        </w:rPr>
      </w:pPr>
    </w:p>
    <w:p w:rsidR="002E65E4" w:rsidRDefault="002E65E4" w:rsidP="002E65E4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2E65E4" w:rsidRPr="00861323" w:rsidRDefault="002E65E4" w:rsidP="002E65E4">
      <w:pPr>
        <w:rPr>
          <w:rFonts w:cs="Arial"/>
          <w:sz w:val="6"/>
          <w:szCs w:val="6"/>
        </w:rPr>
      </w:pPr>
    </w:p>
    <w:tbl>
      <w:tblPr>
        <w:tblStyle w:val="TableGri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83"/>
        <w:gridCol w:w="4613"/>
        <w:gridCol w:w="1861"/>
        <w:gridCol w:w="1276"/>
      </w:tblGrid>
      <w:tr w:rsidR="002E65E4" w:rsidTr="00AF55A8">
        <w:trPr>
          <w:trHeight w:val="34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  <w:r w:rsidRPr="00D7000B">
              <w:rPr>
                <w:rFonts w:cs="Arial"/>
                <w:color w:val="FFFFFF" w:themeColor="background1"/>
                <w:sz w:val="24"/>
              </w:rPr>
              <w:t xml:space="preserve">MCQ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D7000B">
              <w:rPr>
                <w:rFonts w:cs="Arial"/>
                <w:color w:val="FFFFFF" w:themeColor="background1"/>
                <w:sz w:val="24"/>
              </w:rPr>
              <w:t xml:space="preserve">Mock Exam </w:t>
            </w:r>
          </w:p>
        </w:tc>
      </w:tr>
      <w:tr w:rsidR="002E65E4" w:rsidRPr="00D7000B" w:rsidTr="00AF55A8">
        <w:trPr>
          <w:trHeight w:val="316"/>
        </w:trPr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5E4" w:rsidRPr="00D7000B" w:rsidRDefault="002E65E4" w:rsidP="00AF55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Flag box:  (add exclamation mark if you want to review this question later)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65E4" w:rsidRPr="00707977" w:rsidRDefault="002E65E4" w:rsidP="007F003A">
            <w:pPr>
              <w:rPr>
                <w:rFonts w:cs="Arial"/>
                <w:sz w:val="24"/>
                <w:szCs w:val="24"/>
              </w:rPr>
            </w:pPr>
            <w:r w:rsidRPr="004A4A7C">
              <w:rPr>
                <w:rFonts w:cs="Arial"/>
                <w:b w:val="0"/>
              </w:rPr>
              <w:t>EMQ 1</w:t>
            </w:r>
            <w:r>
              <w:rPr>
                <w:rFonts w:cs="Arial"/>
                <w:b w:val="0"/>
              </w:rPr>
              <w:t xml:space="preserve">  </w:t>
            </w:r>
          </w:p>
        </w:tc>
      </w:tr>
      <w:tr w:rsidR="002E65E4" w:rsidTr="00AF55A8">
        <w:trPr>
          <w:trHeight w:val="9532"/>
        </w:trPr>
        <w:tc>
          <w:tcPr>
            <w:tcW w:w="6959" w:type="dxa"/>
            <w:tcBorders>
              <w:left w:val="single" w:sz="4" w:space="0" w:color="auto"/>
            </w:tcBorders>
          </w:tcPr>
          <w:p w:rsidR="002E65E4" w:rsidRPr="006A4262" w:rsidRDefault="002E65E4" w:rsidP="00AF55A8">
            <w:pPr>
              <w:rPr>
                <w:rFonts w:cs="Arial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 xml:space="preserve">For the following </w:t>
            </w:r>
            <w:r w:rsidR="007F003A">
              <w:rPr>
                <w:rFonts w:cs="Arial"/>
                <w:sz w:val="22"/>
                <w:szCs w:val="22"/>
              </w:rPr>
              <w:t>set of symptoms</w:t>
            </w:r>
            <w:r w:rsidRPr="007853E4">
              <w:rPr>
                <w:rFonts w:cs="Arial"/>
                <w:sz w:val="22"/>
                <w:szCs w:val="22"/>
              </w:rPr>
              <w:t xml:space="preserve">, please select the MOST </w:t>
            </w:r>
            <w:r w:rsidR="007F003A">
              <w:rPr>
                <w:rFonts w:cs="Arial"/>
                <w:sz w:val="22"/>
                <w:szCs w:val="22"/>
              </w:rPr>
              <w:t>LIKELY</w:t>
            </w:r>
            <w:r w:rsidRPr="007853E4">
              <w:rPr>
                <w:rFonts w:cs="Arial"/>
                <w:sz w:val="22"/>
                <w:szCs w:val="22"/>
              </w:rPr>
              <w:t xml:space="preserve"> </w:t>
            </w:r>
            <w:r w:rsidR="007F003A">
              <w:rPr>
                <w:rFonts w:cs="Arial"/>
                <w:sz w:val="22"/>
                <w:szCs w:val="22"/>
              </w:rPr>
              <w:t>diagnosis</w:t>
            </w:r>
            <w:r w:rsidRPr="007853E4">
              <w:rPr>
                <w:rFonts w:cs="Arial"/>
                <w:sz w:val="22"/>
                <w:szCs w:val="22"/>
              </w:rPr>
              <w:t>.</w:t>
            </w:r>
          </w:p>
          <w:p w:rsidR="002E65E4" w:rsidRPr="006A4262" w:rsidRDefault="002E65E4" w:rsidP="007F003A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shd w:val="clear" w:color="auto" w:fill="0070C0"/>
          </w:tcPr>
          <w:p w:rsidR="002E65E4" w:rsidRPr="006A4262" w:rsidRDefault="002E65E4" w:rsidP="00AF55A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50" w:type="dxa"/>
            <w:gridSpan w:val="3"/>
            <w:tcBorders>
              <w:right w:val="single" w:sz="4" w:space="0" w:color="auto"/>
            </w:tcBorders>
          </w:tcPr>
          <w:p w:rsidR="002E65E4" w:rsidRPr="00676C38" w:rsidRDefault="002E65E4" w:rsidP="00AF55A8">
            <w:pPr>
              <w:rPr>
                <w:rFonts w:cs="Arial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 xml:space="preserve">Q.1   </w:t>
            </w:r>
            <w:r w:rsidR="007F003A" w:rsidRPr="007F003A">
              <w:rPr>
                <w:sz w:val="22"/>
                <w:szCs w:val="22"/>
                <w:lang w:val="en-US"/>
              </w:rPr>
              <w:t>Drooling and micrographia.</w:t>
            </w:r>
            <w:r w:rsidR="007F003A" w:rsidRPr="007F003A">
              <w:rPr>
                <w:b w:val="0"/>
                <w:sz w:val="22"/>
                <w:szCs w:val="22"/>
                <w:lang w:val="en-US"/>
              </w:rPr>
              <w:t xml:space="preserve">  </w:t>
            </w: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sz w:val="22"/>
                <w:szCs w:val="22"/>
              </w:rPr>
            </w:pPr>
            <w:r w:rsidRPr="007853E4">
              <w:rPr>
                <w:sz w:val="22"/>
                <w:szCs w:val="22"/>
              </w:rPr>
              <w:t>Select ONLY ONE checkbox per page.</w:t>
            </w:r>
          </w:p>
          <w:p w:rsidR="002E65E4" w:rsidRDefault="002E65E4" w:rsidP="00AF55A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369"/>
              <w:gridCol w:w="6407"/>
            </w:tblGrid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234082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Alzheimer's dementia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854379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7F003A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Binswanger's disease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013143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Creutzfeldt-Jakob disease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907448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Juvenile onset Huntingdon’s disease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2032172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 xml:space="preserve">Lewy body dementia 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684867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 xml:space="preserve">Parkinson's disease </w:t>
                  </w:r>
                </w:p>
              </w:tc>
            </w:tr>
            <w:tr w:rsidR="002E65E4" w:rsidRPr="007853E4" w:rsidTr="007F003A">
              <w:trPr>
                <w:trHeight w:val="569"/>
              </w:trPr>
              <w:sdt>
                <w:sdtPr>
                  <w:rPr>
                    <w:sz w:val="22"/>
                    <w:szCs w:val="22"/>
                  </w:rPr>
                  <w:id w:val="-1035738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Pick's disease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38125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AF55A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7F003A" w:rsidP="007F003A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7F003A">
                    <w:rPr>
                      <w:b w:val="0"/>
                      <w:sz w:val="22"/>
                      <w:szCs w:val="22"/>
                      <w:lang w:val="en-US"/>
                    </w:rPr>
                    <w:t>Wernicke’s encephalopathy</w:t>
                  </w:r>
                </w:p>
              </w:tc>
            </w:tr>
          </w:tbl>
          <w:p w:rsidR="002E65E4" w:rsidRPr="00676C38" w:rsidRDefault="002E65E4" w:rsidP="00AF55A8">
            <w:pPr>
              <w:rPr>
                <w:rFonts w:cs="Arial"/>
                <w:szCs w:val="22"/>
              </w:rPr>
            </w:pPr>
          </w:p>
        </w:tc>
      </w:tr>
      <w:tr w:rsidR="002E65E4" w:rsidTr="00AF55A8">
        <w:trPr>
          <w:trHeight w:val="80"/>
        </w:trPr>
        <w:tc>
          <w:tcPr>
            <w:tcW w:w="118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Pr="003F2F1C" w:rsidRDefault="007853E4" w:rsidP="00AF55A8">
            <w:pPr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Scroll down</w:t>
            </w:r>
            <w:r w:rsidR="002E65E4">
              <w:rPr>
                <w:rFonts w:cs="Arial"/>
                <w:color w:val="FFFFFF" w:themeColor="background1"/>
                <w:sz w:val="24"/>
              </w:rPr>
              <w:t xml:space="preserve"> for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t xml:space="preserve">Next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sym w:font="Wingdings" w:char="F0F0"/>
            </w:r>
          </w:p>
        </w:tc>
      </w:tr>
    </w:tbl>
    <w:p w:rsidR="002E65E4" w:rsidRDefault="002E65E4" w:rsidP="002E65E4">
      <w:pPr>
        <w:rPr>
          <w:rFonts w:cs="Arial"/>
          <w:i/>
          <w:sz w:val="8"/>
          <w:szCs w:val="8"/>
        </w:rPr>
      </w:pPr>
    </w:p>
    <w:p w:rsidR="002E65E4" w:rsidRDefault="002E65E4">
      <w:pPr>
        <w:spacing w:after="200" w:line="276" w:lineRule="auto"/>
      </w:pPr>
      <w:r>
        <w:br w:type="page"/>
      </w:r>
    </w:p>
    <w:tbl>
      <w:tblPr>
        <w:tblStyle w:val="TableGri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83"/>
        <w:gridCol w:w="4613"/>
        <w:gridCol w:w="1861"/>
        <w:gridCol w:w="1276"/>
      </w:tblGrid>
      <w:tr w:rsidR="002E65E4" w:rsidTr="00AF55A8">
        <w:trPr>
          <w:trHeight w:val="34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  <w:r w:rsidRPr="00D7000B">
              <w:rPr>
                <w:rFonts w:cs="Arial"/>
                <w:color w:val="FFFFFF" w:themeColor="background1"/>
                <w:sz w:val="24"/>
              </w:rPr>
              <w:lastRenderedPageBreak/>
              <w:t xml:space="preserve">MCQ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D7000B">
              <w:rPr>
                <w:rFonts w:cs="Arial"/>
                <w:color w:val="FFFFFF" w:themeColor="background1"/>
                <w:sz w:val="24"/>
              </w:rPr>
              <w:t xml:space="preserve">Mock Exam </w:t>
            </w:r>
          </w:p>
        </w:tc>
      </w:tr>
      <w:tr w:rsidR="002E65E4" w:rsidRPr="00D7000B" w:rsidTr="00AF55A8">
        <w:trPr>
          <w:trHeight w:val="316"/>
        </w:trPr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5E4" w:rsidRPr="00D7000B" w:rsidRDefault="002E65E4" w:rsidP="00AF55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Flag box:  (add exclamation mark if you want to review this question later)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65E4" w:rsidRPr="00707977" w:rsidRDefault="002E65E4" w:rsidP="002E65E4">
            <w:pPr>
              <w:rPr>
                <w:rFonts w:cs="Arial"/>
                <w:sz w:val="24"/>
                <w:szCs w:val="24"/>
              </w:rPr>
            </w:pPr>
            <w:r w:rsidRPr="004A4A7C">
              <w:rPr>
                <w:rFonts w:cs="Arial"/>
                <w:b w:val="0"/>
              </w:rPr>
              <w:t xml:space="preserve">EMQ </w:t>
            </w:r>
            <w:r>
              <w:rPr>
                <w:rFonts w:cs="Arial"/>
                <w:b w:val="0"/>
              </w:rPr>
              <w:t>2</w:t>
            </w:r>
            <w:r>
              <w:rPr>
                <w:rFonts w:cs="Arial"/>
                <w:b w:val="0"/>
              </w:rPr>
              <w:t xml:space="preserve">  </w:t>
            </w:r>
          </w:p>
        </w:tc>
      </w:tr>
      <w:tr w:rsidR="002E65E4" w:rsidTr="00AF55A8">
        <w:trPr>
          <w:trHeight w:val="9532"/>
        </w:trPr>
        <w:tc>
          <w:tcPr>
            <w:tcW w:w="6959" w:type="dxa"/>
            <w:tcBorders>
              <w:left w:val="single" w:sz="4" w:space="0" w:color="auto"/>
            </w:tcBorders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 xml:space="preserve">For the following question, please select the MOST </w:t>
            </w:r>
            <w:r w:rsidR="00783912">
              <w:rPr>
                <w:rFonts w:cs="Arial"/>
                <w:sz w:val="22"/>
                <w:szCs w:val="22"/>
              </w:rPr>
              <w:t>LIKELY</w:t>
            </w:r>
            <w:r w:rsidRPr="007853E4">
              <w:rPr>
                <w:rFonts w:cs="Arial"/>
                <w:sz w:val="22"/>
                <w:szCs w:val="22"/>
              </w:rPr>
              <w:t xml:space="preserve"> </w:t>
            </w:r>
            <w:r w:rsidR="00783912">
              <w:rPr>
                <w:rFonts w:cs="Arial"/>
                <w:sz w:val="22"/>
                <w:szCs w:val="22"/>
              </w:rPr>
              <w:t>diagnosis</w:t>
            </w:r>
            <w:r w:rsidRPr="007853E4">
              <w:rPr>
                <w:rFonts w:cs="Arial"/>
                <w:sz w:val="22"/>
                <w:szCs w:val="22"/>
              </w:rPr>
              <w:t>.</w:t>
            </w: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70C0"/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50" w:type="dxa"/>
            <w:gridSpan w:val="3"/>
            <w:tcBorders>
              <w:right w:val="single" w:sz="4" w:space="0" w:color="auto"/>
            </w:tcBorders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>Q.</w:t>
            </w:r>
            <w:r w:rsidRPr="007853E4">
              <w:rPr>
                <w:rFonts w:cs="Arial"/>
                <w:sz w:val="22"/>
                <w:szCs w:val="22"/>
              </w:rPr>
              <w:t>2</w:t>
            </w:r>
            <w:r w:rsidRPr="007853E4">
              <w:rPr>
                <w:rFonts w:cs="Arial"/>
                <w:sz w:val="22"/>
                <w:szCs w:val="22"/>
              </w:rPr>
              <w:t xml:space="preserve">   </w:t>
            </w:r>
            <w:r w:rsidR="00E24F2F">
              <w:rPr>
                <w:rFonts w:cs="Arial"/>
                <w:sz w:val="22"/>
                <w:szCs w:val="22"/>
              </w:rPr>
              <w:t xml:space="preserve"> </w:t>
            </w:r>
            <w:r w:rsidR="005134F6">
              <w:rPr>
                <w:sz w:val="22"/>
                <w:szCs w:val="22"/>
                <w:lang w:val="en-US"/>
              </w:rPr>
              <w:t>Helen, aged 20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, </w:t>
            </w:r>
            <w:r w:rsidR="002F671E">
              <w:rPr>
                <w:sz w:val="22"/>
                <w:szCs w:val="22"/>
                <w:lang w:val="en-US"/>
              </w:rPr>
              <w:t xml:space="preserve">has always been very shy and cannot 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manage a presentation to her </w:t>
            </w:r>
            <w:r w:rsidR="005134F6">
              <w:rPr>
                <w:sz w:val="22"/>
                <w:szCs w:val="22"/>
                <w:lang w:val="en-US"/>
              </w:rPr>
              <w:t>tutorial group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 on a project. </w:t>
            </w:r>
            <w:r w:rsidR="005134F6">
              <w:rPr>
                <w:sz w:val="22"/>
                <w:szCs w:val="22"/>
                <w:lang w:val="en-US"/>
              </w:rPr>
              <w:t xml:space="preserve">She lives with her parents at 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home </w:t>
            </w:r>
            <w:r w:rsidR="005134F6">
              <w:rPr>
                <w:sz w:val="22"/>
                <w:szCs w:val="22"/>
                <w:lang w:val="en-US"/>
              </w:rPr>
              <w:t xml:space="preserve">where </w:t>
            </w:r>
            <w:r w:rsidR="002F671E">
              <w:rPr>
                <w:sz w:val="22"/>
                <w:szCs w:val="22"/>
                <w:lang w:val="en-US"/>
              </w:rPr>
              <w:t>she'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s happy and settled. </w:t>
            </w:r>
            <w:r w:rsidR="002F671E">
              <w:rPr>
                <w:sz w:val="22"/>
                <w:szCs w:val="22"/>
                <w:lang w:val="en-US"/>
              </w:rPr>
              <w:t>At university s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he avoids </w:t>
            </w:r>
            <w:r w:rsidR="005134F6">
              <w:rPr>
                <w:sz w:val="22"/>
                <w:szCs w:val="22"/>
                <w:lang w:val="en-US"/>
              </w:rPr>
              <w:t>other students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 by </w:t>
            </w:r>
            <w:r w:rsidR="002F671E">
              <w:rPr>
                <w:sz w:val="22"/>
                <w:szCs w:val="22"/>
                <w:lang w:val="en-US"/>
              </w:rPr>
              <w:t>reading</w:t>
            </w:r>
            <w:r w:rsidR="00E24F2F" w:rsidRPr="00E24F2F">
              <w:rPr>
                <w:sz w:val="22"/>
                <w:szCs w:val="22"/>
                <w:lang w:val="en-US"/>
              </w:rPr>
              <w:t xml:space="preserve"> in the library during breaks.</w:t>
            </w: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sz w:val="22"/>
                <w:szCs w:val="22"/>
              </w:rPr>
            </w:pPr>
            <w:r w:rsidRPr="007853E4">
              <w:rPr>
                <w:sz w:val="22"/>
                <w:szCs w:val="22"/>
              </w:rPr>
              <w:t>Select ONLY ONE checkbox per page.</w:t>
            </w:r>
          </w:p>
          <w:p w:rsidR="002E65E4" w:rsidRPr="007853E4" w:rsidRDefault="002E65E4" w:rsidP="00AF55A8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369"/>
              <w:gridCol w:w="6407"/>
            </w:tblGrid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439140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Default="00E24F2F" w:rsidP="00E24F2F">
                  <w:pPr>
                    <w:rPr>
                      <w:b w:val="0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Acute stress disorder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207022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Generalised anxiety disorder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1451205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Obsessive compulsive disorder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4599488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Panic disorder with agoraphobia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765613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E24F2F">
                    <w:rPr>
                      <w:b w:val="0"/>
                      <w:sz w:val="22"/>
                      <w:szCs w:val="22"/>
                      <w:lang w:val="en-US"/>
                    </w:rPr>
                    <w:t>Pan</w:t>
                  </w:r>
                  <w:r>
                    <w:rPr>
                      <w:b w:val="0"/>
                      <w:sz w:val="22"/>
                      <w:szCs w:val="22"/>
                      <w:lang w:val="en-US"/>
                    </w:rPr>
                    <w:t>ic disorder without agoraphobia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1275290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Post-traumatic stress disorder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651746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792D60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Separation anxiety disorder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983350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E24F2F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Social phobia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8812913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E24F2F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Specific phobia</w:t>
                  </w:r>
                </w:p>
              </w:tc>
            </w:tr>
            <w:tr w:rsidR="00E24F2F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179355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E24F2F" w:rsidRPr="007853E4" w:rsidRDefault="00E24F2F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E24F2F" w:rsidRPr="007853E4" w:rsidRDefault="00E24F2F" w:rsidP="00E24F2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E24F2F" w:rsidRPr="007853E4" w:rsidRDefault="00E24F2F" w:rsidP="00E24F2F">
                  <w:pPr>
                    <w:rPr>
                      <w:b w:val="0"/>
                      <w:sz w:val="22"/>
                      <w:szCs w:val="22"/>
                      <w:lang w:val="en-US"/>
                    </w:rPr>
                  </w:pPr>
                  <w:r w:rsidRPr="00E24F2F">
                    <w:rPr>
                      <w:b w:val="0"/>
                      <w:sz w:val="22"/>
                      <w:szCs w:val="22"/>
                      <w:lang w:val="en-US"/>
                    </w:rPr>
                    <w:t>Sub</w:t>
                  </w:r>
                  <w:r>
                    <w:rPr>
                      <w:b w:val="0"/>
                      <w:sz w:val="22"/>
                      <w:szCs w:val="22"/>
                      <w:lang w:val="en-US"/>
                    </w:rPr>
                    <w:t>stance-induced anxiety disorder</w:t>
                  </w:r>
                </w:p>
              </w:tc>
            </w:tr>
          </w:tbl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</w:tc>
      </w:tr>
      <w:tr w:rsidR="002E65E4" w:rsidTr="00AF55A8">
        <w:trPr>
          <w:trHeight w:val="80"/>
        </w:trPr>
        <w:tc>
          <w:tcPr>
            <w:tcW w:w="118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Pr="003F2F1C" w:rsidRDefault="007853E4" w:rsidP="00AF55A8">
            <w:pPr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Scroll down</w:t>
            </w:r>
            <w:r w:rsidR="002E65E4">
              <w:rPr>
                <w:rFonts w:cs="Arial"/>
                <w:color w:val="FFFFFF" w:themeColor="background1"/>
                <w:sz w:val="24"/>
              </w:rPr>
              <w:t xml:space="preserve"> for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t xml:space="preserve">Next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sym w:font="Wingdings" w:char="F0F0"/>
            </w:r>
          </w:p>
        </w:tc>
      </w:tr>
    </w:tbl>
    <w:p w:rsidR="002E65E4" w:rsidRDefault="002E65E4"/>
    <w:p w:rsidR="002E65E4" w:rsidRDefault="002E65E4">
      <w:pPr>
        <w:spacing w:after="200" w:line="276" w:lineRule="auto"/>
      </w:pPr>
      <w:r>
        <w:br w:type="page"/>
      </w:r>
    </w:p>
    <w:tbl>
      <w:tblPr>
        <w:tblStyle w:val="TableGri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83"/>
        <w:gridCol w:w="4613"/>
        <w:gridCol w:w="1861"/>
        <w:gridCol w:w="1276"/>
      </w:tblGrid>
      <w:tr w:rsidR="002E65E4" w:rsidTr="00AF55A8">
        <w:trPr>
          <w:trHeight w:val="34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  <w:r w:rsidRPr="00D7000B">
              <w:rPr>
                <w:rFonts w:cs="Arial"/>
                <w:color w:val="FFFFFF" w:themeColor="background1"/>
                <w:sz w:val="24"/>
              </w:rPr>
              <w:lastRenderedPageBreak/>
              <w:t xml:space="preserve">MCQ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D7000B">
              <w:rPr>
                <w:rFonts w:cs="Arial"/>
                <w:color w:val="FFFFFF" w:themeColor="background1"/>
                <w:sz w:val="24"/>
              </w:rPr>
              <w:t xml:space="preserve">Mock Exam </w:t>
            </w:r>
          </w:p>
        </w:tc>
      </w:tr>
      <w:tr w:rsidR="002E65E4" w:rsidRPr="00D7000B" w:rsidTr="00AF55A8">
        <w:trPr>
          <w:trHeight w:val="316"/>
        </w:trPr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5E4" w:rsidRPr="00D7000B" w:rsidRDefault="002E65E4" w:rsidP="00AF55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Flag box:  (add exclamation mark if you want to review this question later)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65E4" w:rsidRPr="00707977" w:rsidRDefault="002E65E4" w:rsidP="002E65E4">
            <w:pPr>
              <w:rPr>
                <w:rFonts w:cs="Arial"/>
                <w:sz w:val="24"/>
                <w:szCs w:val="24"/>
              </w:rPr>
            </w:pPr>
            <w:r w:rsidRPr="004A4A7C">
              <w:rPr>
                <w:rFonts w:cs="Arial"/>
                <w:b w:val="0"/>
              </w:rPr>
              <w:t xml:space="preserve">EMQ </w:t>
            </w:r>
            <w:r>
              <w:rPr>
                <w:rFonts w:cs="Arial"/>
                <w:b w:val="0"/>
              </w:rPr>
              <w:t>3</w:t>
            </w:r>
            <w:r>
              <w:rPr>
                <w:rFonts w:cs="Arial"/>
                <w:b w:val="0"/>
              </w:rPr>
              <w:t xml:space="preserve">  </w:t>
            </w:r>
          </w:p>
        </w:tc>
      </w:tr>
      <w:tr w:rsidR="002E65E4" w:rsidTr="00AF55A8">
        <w:trPr>
          <w:trHeight w:val="9532"/>
        </w:trPr>
        <w:tc>
          <w:tcPr>
            <w:tcW w:w="6959" w:type="dxa"/>
            <w:tcBorders>
              <w:left w:val="single" w:sz="4" w:space="0" w:color="auto"/>
            </w:tcBorders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 xml:space="preserve">For the following </w:t>
            </w:r>
            <w:r w:rsidR="00B50413">
              <w:rPr>
                <w:rFonts w:cs="Arial"/>
                <w:sz w:val="22"/>
                <w:szCs w:val="22"/>
              </w:rPr>
              <w:t>example</w:t>
            </w:r>
            <w:r w:rsidRPr="007853E4">
              <w:rPr>
                <w:rFonts w:cs="Arial"/>
                <w:sz w:val="22"/>
                <w:szCs w:val="22"/>
              </w:rPr>
              <w:t xml:space="preserve">, please select the MOST </w:t>
            </w:r>
            <w:r w:rsidR="00B50413">
              <w:rPr>
                <w:rFonts w:cs="Arial"/>
                <w:sz w:val="22"/>
                <w:szCs w:val="22"/>
              </w:rPr>
              <w:t xml:space="preserve">APPROPRIATE </w:t>
            </w:r>
            <w:r w:rsidRPr="007853E4">
              <w:rPr>
                <w:rFonts w:cs="Arial"/>
                <w:sz w:val="22"/>
                <w:szCs w:val="22"/>
              </w:rPr>
              <w:t xml:space="preserve"> </w:t>
            </w:r>
            <w:r w:rsidR="00B50413">
              <w:rPr>
                <w:rFonts w:cs="Arial"/>
                <w:sz w:val="22"/>
                <w:szCs w:val="22"/>
              </w:rPr>
              <w:t>therapy or therapy technique described</w:t>
            </w:r>
            <w:r w:rsidRPr="007853E4">
              <w:rPr>
                <w:rFonts w:cs="Arial"/>
                <w:sz w:val="22"/>
                <w:szCs w:val="22"/>
              </w:rPr>
              <w:t>.</w:t>
            </w:r>
          </w:p>
          <w:p w:rsidR="00B50413" w:rsidRPr="007853E4" w:rsidRDefault="00B50413" w:rsidP="00B504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70C0"/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50" w:type="dxa"/>
            <w:gridSpan w:val="3"/>
            <w:tcBorders>
              <w:right w:val="single" w:sz="4" w:space="0" w:color="auto"/>
            </w:tcBorders>
          </w:tcPr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  <w:r w:rsidRPr="007853E4">
              <w:rPr>
                <w:rFonts w:cs="Arial"/>
                <w:sz w:val="22"/>
                <w:szCs w:val="22"/>
              </w:rPr>
              <w:t>Q.</w:t>
            </w:r>
            <w:r w:rsidRPr="007853E4">
              <w:rPr>
                <w:rFonts w:cs="Arial"/>
                <w:sz w:val="22"/>
                <w:szCs w:val="22"/>
              </w:rPr>
              <w:t>3</w:t>
            </w:r>
            <w:r w:rsidRPr="007853E4">
              <w:rPr>
                <w:rFonts w:cs="Arial"/>
                <w:sz w:val="22"/>
                <w:szCs w:val="22"/>
              </w:rPr>
              <w:t xml:space="preserve">   </w:t>
            </w:r>
            <w:r w:rsidR="00B50413">
              <w:rPr>
                <w:rFonts w:cs="Arial"/>
                <w:sz w:val="22"/>
                <w:szCs w:val="22"/>
              </w:rPr>
              <w:t xml:space="preserve"> </w:t>
            </w:r>
            <w:r w:rsidR="00B50413" w:rsidRPr="00B50413">
              <w:rPr>
                <w:sz w:val="22"/>
                <w:szCs w:val="22"/>
                <w:lang w:val="en-US"/>
              </w:rPr>
              <w:t xml:space="preserve">Ginnie, aged four, </w:t>
            </w:r>
            <w:r w:rsidR="009B7E74">
              <w:rPr>
                <w:sz w:val="22"/>
                <w:szCs w:val="22"/>
                <w:lang w:val="en-US"/>
              </w:rPr>
              <w:t>is rewarded with</w:t>
            </w:r>
            <w:r w:rsidR="00B50413" w:rsidRPr="00B50413">
              <w:rPr>
                <w:sz w:val="22"/>
                <w:szCs w:val="22"/>
                <w:lang w:val="en-US"/>
              </w:rPr>
              <w:t xml:space="preserve"> a trip to the beach at the weekend after earning 5 gold stars for going to bed without a fuss, most nights across the previous week.</w:t>
            </w: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  <w:p w:rsidR="002E65E4" w:rsidRPr="007853E4" w:rsidRDefault="002E65E4" w:rsidP="00AF55A8">
            <w:pPr>
              <w:rPr>
                <w:sz w:val="22"/>
                <w:szCs w:val="22"/>
              </w:rPr>
            </w:pPr>
            <w:r w:rsidRPr="007853E4">
              <w:rPr>
                <w:sz w:val="22"/>
                <w:szCs w:val="22"/>
              </w:rPr>
              <w:t>Select ONLY ONE checkbox per page.</w:t>
            </w:r>
          </w:p>
          <w:p w:rsidR="002E65E4" w:rsidRPr="007853E4" w:rsidRDefault="002E65E4" w:rsidP="00AF55A8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369"/>
              <w:gridCol w:w="6407"/>
            </w:tblGrid>
            <w:tr w:rsidR="00B50413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28594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B50413" w:rsidRPr="007853E4" w:rsidRDefault="00B50413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B50413" w:rsidRPr="007853E4" w:rsidRDefault="00B50413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</w:pPr>
                </w:p>
              </w:tc>
              <w:tc>
                <w:tcPr>
                  <w:tcW w:w="6407" w:type="dxa"/>
                  <w:vAlign w:val="center"/>
                </w:tcPr>
                <w:p w:rsidR="00B50413" w:rsidRPr="00B50413" w:rsidRDefault="00B50413" w:rsidP="009A5541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“ABC” analysis</w:t>
                  </w:r>
                </w:p>
              </w:tc>
            </w:tr>
            <w:tr w:rsidR="00B50413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398972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B50413" w:rsidRPr="007853E4" w:rsidRDefault="00B50413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B50413" w:rsidRPr="007853E4" w:rsidRDefault="00B50413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</w:pPr>
                </w:p>
              </w:tc>
              <w:tc>
                <w:tcPr>
                  <w:tcW w:w="6407" w:type="dxa"/>
                  <w:vAlign w:val="center"/>
                </w:tcPr>
                <w:p w:rsidR="00B50413" w:rsidRPr="00B50413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Aversion therapy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717513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B50413" w:rsidP="00AF55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Decelerating therapy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558375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Flooding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3116235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Habit reversal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478291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Imaginal exposure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783628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Implosion therapy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380630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In vivo desensitisation</w:t>
                  </w:r>
                </w:p>
              </w:tc>
            </w:tr>
            <w:tr w:rsidR="002E65E4" w:rsidRPr="007853E4" w:rsidTr="00AF55A8">
              <w:trPr>
                <w:trHeight w:val="510"/>
              </w:trPr>
              <w:sdt>
                <w:sdtPr>
                  <w:rPr>
                    <w:sz w:val="22"/>
                    <w:szCs w:val="22"/>
                  </w:rPr>
                  <w:id w:val="-1607958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vAlign w:val="center"/>
                    </w:tcPr>
                    <w:p w:rsidR="002E65E4" w:rsidRPr="007853E4" w:rsidRDefault="002E65E4" w:rsidP="00AF55A8">
                      <w:pPr>
                        <w:rPr>
                          <w:sz w:val="22"/>
                          <w:szCs w:val="22"/>
                        </w:rPr>
                      </w:pPr>
                      <w:r w:rsidRPr="007853E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9" w:type="dxa"/>
                  <w:vAlign w:val="center"/>
                </w:tcPr>
                <w:p w:rsidR="002E65E4" w:rsidRPr="007853E4" w:rsidRDefault="002E65E4" w:rsidP="00B50413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57" w:hanging="357"/>
                    <w:rPr>
                      <w:sz w:val="22"/>
                    </w:rPr>
                  </w:pPr>
                </w:p>
              </w:tc>
              <w:tc>
                <w:tcPr>
                  <w:tcW w:w="6407" w:type="dxa"/>
                  <w:vAlign w:val="center"/>
                </w:tcPr>
                <w:p w:rsidR="002E65E4" w:rsidRPr="007853E4" w:rsidRDefault="00B50413" w:rsidP="00B50413">
                  <w:pPr>
                    <w:ind w:left="360"/>
                    <w:rPr>
                      <w:b w:val="0"/>
                      <w:sz w:val="22"/>
                      <w:szCs w:val="22"/>
                      <w:lang w:val="en-US"/>
                    </w:rPr>
                  </w:pPr>
                  <w:r>
                    <w:rPr>
                      <w:b w:val="0"/>
                      <w:sz w:val="22"/>
                      <w:szCs w:val="22"/>
                      <w:lang w:val="en-US"/>
                    </w:rPr>
                    <w:t>Shaping</w:t>
                  </w:r>
                </w:p>
              </w:tc>
            </w:tr>
          </w:tbl>
          <w:p w:rsidR="002E65E4" w:rsidRPr="007853E4" w:rsidRDefault="002E65E4" w:rsidP="00AF55A8">
            <w:pPr>
              <w:rPr>
                <w:rFonts w:cs="Arial"/>
                <w:sz w:val="22"/>
                <w:szCs w:val="22"/>
              </w:rPr>
            </w:pPr>
          </w:p>
        </w:tc>
      </w:tr>
      <w:tr w:rsidR="002E65E4" w:rsidTr="00AF55A8">
        <w:trPr>
          <w:trHeight w:val="80"/>
        </w:trPr>
        <w:tc>
          <w:tcPr>
            <w:tcW w:w="118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E65E4" w:rsidRDefault="002E65E4" w:rsidP="00AF55A8">
            <w:pPr>
              <w:rPr>
                <w:rFonts w:cs="Arial"/>
                <w:sz w:val="24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E65E4" w:rsidRPr="003F2F1C" w:rsidRDefault="007853E4" w:rsidP="00AF55A8">
            <w:pPr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Scroll down</w:t>
            </w:r>
            <w:r w:rsidR="002E65E4">
              <w:rPr>
                <w:rFonts w:cs="Arial"/>
                <w:color w:val="FFFFFF" w:themeColor="background1"/>
                <w:sz w:val="24"/>
              </w:rPr>
              <w:t xml:space="preserve"> for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t xml:space="preserve">Next </w:t>
            </w:r>
            <w:r w:rsidR="002E65E4" w:rsidRPr="003F2F1C">
              <w:rPr>
                <w:rFonts w:cs="Arial"/>
                <w:color w:val="FFFFFF" w:themeColor="background1"/>
                <w:sz w:val="24"/>
              </w:rPr>
              <w:sym w:font="Wingdings" w:char="F0F0"/>
            </w:r>
          </w:p>
        </w:tc>
      </w:tr>
    </w:tbl>
    <w:p w:rsidR="00A8035F" w:rsidRDefault="00A8035F"/>
    <w:sectPr w:rsidR="00A8035F" w:rsidSect="002E65E4">
      <w:pgSz w:w="16838" w:h="11906" w:orient="landscape"/>
      <w:pgMar w:top="426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27"/>
    <w:multiLevelType w:val="hybridMultilevel"/>
    <w:tmpl w:val="3928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5101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4AAC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17536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E4"/>
    <w:rsid w:val="0010027E"/>
    <w:rsid w:val="002A5685"/>
    <w:rsid w:val="002E65E4"/>
    <w:rsid w:val="002F2741"/>
    <w:rsid w:val="002F671E"/>
    <w:rsid w:val="0032221E"/>
    <w:rsid w:val="00411CE1"/>
    <w:rsid w:val="004C02C0"/>
    <w:rsid w:val="005134F6"/>
    <w:rsid w:val="00613050"/>
    <w:rsid w:val="00783912"/>
    <w:rsid w:val="007853E4"/>
    <w:rsid w:val="007F003A"/>
    <w:rsid w:val="00877A99"/>
    <w:rsid w:val="008917E3"/>
    <w:rsid w:val="009046B2"/>
    <w:rsid w:val="00984B31"/>
    <w:rsid w:val="009A5541"/>
    <w:rsid w:val="009B7E74"/>
    <w:rsid w:val="00A8035F"/>
    <w:rsid w:val="00B50413"/>
    <w:rsid w:val="00B55937"/>
    <w:rsid w:val="00CB3495"/>
    <w:rsid w:val="00D66E8A"/>
    <w:rsid w:val="00DE0B63"/>
    <w:rsid w:val="00E123DB"/>
    <w:rsid w:val="00E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E4"/>
    <w:pPr>
      <w:spacing w:after="0" w:line="240" w:lineRule="auto"/>
    </w:pPr>
    <w:rPr>
      <w:rFonts w:ascii="Arial" w:eastAsia="Times New Roman" w:hAnsi="Arial" w:cs="Times New Roman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E65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65E4"/>
    <w:pPr>
      <w:spacing w:after="200" w:line="276" w:lineRule="auto"/>
      <w:ind w:left="720"/>
      <w:contextualSpacing/>
    </w:pPr>
    <w:rPr>
      <w:rFonts w:ascii="Calibri" w:hAnsi="Calibri"/>
      <w:b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E4"/>
    <w:rPr>
      <w:rFonts w:ascii="Tahoma" w:eastAsia="Times New Roman" w:hAnsi="Tahoma" w:cs="Tahoma"/>
      <w:b/>
      <w:sz w:val="16"/>
      <w:szCs w:val="16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E4"/>
    <w:pPr>
      <w:spacing w:after="0" w:line="240" w:lineRule="auto"/>
    </w:pPr>
    <w:rPr>
      <w:rFonts w:ascii="Arial" w:eastAsia="Times New Roman" w:hAnsi="Arial" w:cs="Times New Roman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E65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65E4"/>
    <w:pPr>
      <w:spacing w:after="200" w:line="276" w:lineRule="auto"/>
      <w:ind w:left="720"/>
      <w:contextualSpacing/>
    </w:pPr>
    <w:rPr>
      <w:rFonts w:ascii="Calibri" w:hAnsi="Calibri"/>
      <w:b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E4"/>
    <w:rPr>
      <w:rFonts w:ascii="Tahoma" w:eastAsia="Times New Roman" w:hAnsi="Tahoma" w:cs="Tahoma"/>
      <w:b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zcp.org/Files/PreFellowship/2012-Fellowship-Program/Exam-Centre/MCQ-Exam-Information-V3-0.aspx" TargetMode="External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hyperlink" Target="https://www.ranzcp.org/Files/PreFellowship/2012-Fellowship-Program/RPP-EXAMINATIONS.aspx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psychtraining.org/Mock-exam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nzcp.org/Files/PreFellowship/2012-Fellowship-Program/Practice-Exam-Answer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arsonvue.com/ranzcp/tutorial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16</cp:revision>
  <dcterms:created xsi:type="dcterms:W3CDTF">2017-01-07T06:14:00Z</dcterms:created>
  <dcterms:modified xsi:type="dcterms:W3CDTF">2017-01-07T06:57:00Z</dcterms:modified>
</cp:coreProperties>
</file>